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07" w:rsidRPr="00BF4B0F" w:rsidRDefault="00BF7386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  <w:bookmarkStart w:id="0" w:name="_GoBack"/>
      <w:bookmarkEnd w:id="0"/>
      <w:r>
        <w:rPr>
          <w:rFonts w:eastAsia="Calibri"/>
          <w:lang w:val="en-GB" w:eastAsia="en-US"/>
        </w:rPr>
        <w:t>Supplementary material</w:t>
      </w: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eastAsia="en-US"/>
        </w:rPr>
      </w:pP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eastAsia="en-US"/>
        </w:rPr>
      </w:pP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eastAsia="en-US"/>
        </w:rPr>
      </w:pP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eastAsia="en-US"/>
        </w:rPr>
      </w:pPr>
      <w:r w:rsidRPr="00BF4B0F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3A451C7B" wp14:editId="08625FEC">
            <wp:extent cx="5731510" cy="609155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9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eastAsia="en-US"/>
        </w:rPr>
      </w:pPr>
    </w:p>
    <w:p w:rsidR="00851F07" w:rsidRPr="00BF4B0F" w:rsidRDefault="00851F07" w:rsidP="00851F07">
      <w:pPr>
        <w:spacing w:after="160" w:line="276" w:lineRule="auto"/>
        <w:rPr>
          <w:rFonts w:eastAsia="Calibri"/>
          <w:lang w:val="en-GB" w:eastAsia="en-US"/>
        </w:rPr>
      </w:pPr>
      <w:r w:rsidRPr="00BF4B0F">
        <w:rPr>
          <w:rFonts w:eastAsia="Calibri"/>
          <w:lang w:val="en-GB" w:eastAsia="en-US"/>
        </w:rPr>
        <w:t>Scale Justification:</w:t>
      </w:r>
    </w:p>
    <w:p w:rsidR="00851F07" w:rsidRPr="00BF4B0F" w:rsidRDefault="00851F07" w:rsidP="00851F07">
      <w:pPr>
        <w:spacing w:after="160" w:line="276" w:lineRule="auto"/>
        <w:ind w:left="720"/>
        <w:contextualSpacing/>
        <w:rPr>
          <w:rFonts w:eastAsia="Calibri"/>
          <w:lang w:val="en-GB" w:eastAsia="en-US"/>
        </w:rPr>
      </w:pP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  <w:r w:rsidRPr="00BF4B0F">
        <w:rPr>
          <w:rFonts w:eastAsia="Calibri"/>
          <w:lang w:val="en-GB" w:eastAsia="en-US"/>
        </w:rPr>
        <w:t>3.1 is identical with 2.4, because in 2.4 there is a threat, whereas in 3.1 there is no threat but only a requirement, but the ego has no strategy and fails.</w:t>
      </w: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  <w:r w:rsidRPr="00BF4B0F">
        <w:rPr>
          <w:rFonts w:eastAsia="Calibri"/>
          <w:lang w:val="en-GB" w:eastAsia="en-US"/>
        </w:rPr>
        <w:t>Then follows 3.2, because here the dream ego does not succeed in coping with the requirements; only in the next step follows 2.5, because the overcoming of the threat, psychologically speaking the liberation of the ego from the influence of the complex, represents a more mature step.</w:t>
      </w: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  <w:r w:rsidRPr="00BF4B0F">
        <w:rPr>
          <w:rFonts w:eastAsia="Calibri"/>
          <w:lang w:val="en-GB" w:eastAsia="en-US"/>
        </w:rPr>
        <w:lastRenderedPageBreak/>
        <w:t xml:space="preserve">Then follows 3.3, because here the requirements </w:t>
      </w:r>
      <w:proofErr w:type="gramStart"/>
      <w:r w:rsidRPr="00BF4B0F">
        <w:rPr>
          <w:rFonts w:eastAsia="Calibri"/>
          <w:lang w:val="en-GB" w:eastAsia="en-US"/>
        </w:rPr>
        <w:t>are also successfully mastered</w:t>
      </w:r>
      <w:proofErr w:type="gramEnd"/>
      <w:r w:rsidRPr="00BF4B0F">
        <w:rPr>
          <w:rFonts w:eastAsia="Calibri"/>
          <w:lang w:val="en-GB" w:eastAsia="en-US"/>
        </w:rPr>
        <w:t>.</w:t>
      </w: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  <w:r w:rsidRPr="00BF4B0F">
        <w:rPr>
          <w:rFonts w:eastAsia="Calibri"/>
          <w:lang w:val="en-GB" w:eastAsia="en-US"/>
        </w:rPr>
        <w:t>Type 4 is more mature than type 3, insofar as in type 3 that ego is still subject to the demands of another, while in type 4 it pursues its own intentions and plans. However, 4.1 is less mature than 3.3 in that while there is an approach of ego initiative here, this activity is still completely constrained.</w:t>
      </w: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  <w:proofErr w:type="gramStart"/>
      <w:r w:rsidRPr="00BF4B0F">
        <w:rPr>
          <w:rFonts w:eastAsia="Calibri"/>
          <w:lang w:val="en-GB" w:eastAsia="en-US"/>
        </w:rPr>
        <w:t>4.2</w:t>
      </w:r>
      <w:proofErr w:type="gramEnd"/>
      <w:r w:rsidRPr="00BF4B0F">
        <w:rPr>
          <w:rFonts w:eastAsia="Calibri"/>
          <w:lang w:val="en-GB" w:eastAsia="en-US"/>
        </w:rPr>
        <w:t xml:space="preserve"> is on the same level as 3.3 because although there is an approach of own initiative here, it still cannot be implemented.</w:t>
      </w: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  <w:r w:rsidRPr="00BF4B0F">
        <w:rPr>
          <w:rFonts w:eastAsia="Calibri"/>
          <w:lang w:val="en-GB" w:eastAsia="en-US"/>
        </w:rPr>
        <w:t xml:space="preserve">In Type 5, the situation has changed in that the ego now seeks relationships with other people, which psychologically </w:t>
      </w:r>
      <w:proofErr w:type="gramStart"/>
      <w:r w:rsidRPr="00BF4B0F">
        <w:rPr>
          <w:rFonts w:eastAsia="Calibri"/>
          <w:lang w:val="en-GB" w:eastAsia="en-US"/>
        </w:rPr>
        <w:t>can be seen</w:t>
      </w:r>
      <w:proofErr w:type="gramEnd"/>
      <w:r w:rsidRPr="00BF4B0F">
        <w:rPr>
          <w:rFonts w:eastAsia="Calibri"/>
          <w:lang w:val="en-GB" w:eastAsia="en-US"/>
        </w:rPr>
        <w:t xml:space="preserve"> as the equivalent of more mature object relationships. However, subtypes 5.1 and 5.2 must be considered less mature than 4.5, because in the latter contact with others still fails.</w:t>
      </w: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  <w:r w:rsidRPr="00BF4B0F">
        <w:rPr>
          <w:rFonts w:eastAsia="Calibri"/>
          <w:lang w:val="en-GB" w:eastAsia="en-US"/>
        </w:rPr>
        <w:t xml:space="preserve">In type 6, an even greater maturity of the ego is present, insofar as here that ego is satisfied with its autonomy independent of contact with others. </w:t>
      </w:r>
      <w:proofErr w:type="gramStart"/>
      <w:r w:rsidRPr="00BF4B0F">
        <w:rPr>
          <w:rFonts w:eastAsia="Calibri"/>
          <w:lang w:val="en-GB" w:eastAsia="en-US"/>
        </w:rPr>
        <w:t>6.1</w:t>
      </w:r>
      <w:proofErr w:type="gramEnd"/>
      <w:r w:rsidRPr="00BF4B0F">
        <w:rPr>
          <w:rFonts w:eastAsia="Calibri"/>
          <w:lang w:val="en-GB" w:eastAsia="en-US"/>
        </w:rPr>
        <w:t xml:space="preserve">, however, is still below 5.3, because here, too, the shaping of the situation with the others does not succeed, in contrast to 5.3. </w:t>
      </w:r>
      <w:proofErr w:type="gramStart"/>
      <w:r w:rsidRPr="00BF4B0F">
        <w:rPr>
          <w:rFonts w:eastAsia="Calibri"/>
          <w:lang w:val="en-GB" w:eastAsia="en-US"/>
        </w:rPr>
        <w:t>6.2</w:t>
      </w:r>
      <w:proofErr w:type="gramEnd"/>
      <w:r w:rsidRPr="00BF4B0F">
        <w:rPr>
          <w:rFonts w:eastAsia="Calibri"/>
          <w:lang w:val="en-GB" w:eastAsia="en-US"/>
        </w:rPr>
        <w:t xml:space="preserve"> is on the same level as 5.3, because here the shaping of the togetherness with others by the ego succeeds, even if with aggressive means.</w:t>
      </w: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</w:p>
    <w:p w:rsidR="00851F07" w:rsidRPr="00BF4B0F" w:rsidRDefault="00851F07" w:rsidP="00851F07">
      <w:pPr>
        <w:spacing w:after="160" w:line="276" w:lineRule="auto"/>
        <w:contextualSpacing/>
        <w:rPr>
          <w:rFonts w:eastAsia="Calibri"/>
          <w:lang w:val="en-GB" w:eastAsia="en-US"/>
        </w:rPr>
      </w:pPr>
    </w:p>
    <w:p w:rsidR="00851F07" w:rsidRPr="00C34C46" w:rsidRDefault="00851F07" w:rsidP="00851F07">
      <w:pPr>
        <w:spacing w:after="160" w:line="276" w:lineRule="auto"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76" w:lineRule="auto"/>
        <w:ind w:left="720"/>
        <w:contextualSpacing/>
        <w:rPr>
          <w:rFonts w:eastAsia="Calibri"/>
          <w:lang w:val="en-US" w:eastAsia="en-US"/>
        </w:rPr>
      </w:pPr>
    </w:p>
    <w:p w:rsidR="00851F07" w:rsidRPr="00C34C46" w:rsidRDefault="00851F07" w:rsidP="00851F07">
      <w:pPr>
        <w:spacing w:after="160" w:line="259" w:lineRule="auto"/>
        <w:rPr>
          <w:lang w:val="en-US"/>
        </w:rPr>
      </w:pPr>
      <w:r w:rsidRPr="00C34C46">
        <w:rPr>
          <w:lang w:val="en-US"/>
        </w:rPr>
        <w:br w:type="page"/>
      </w:r>
    </w:p>
    <w:p w:rsidR="00851F07" w:rsidRDefault="00BF7386" w:rsidP="00851F07">
      <w:pPr>
        <w:spacing w:after="160" w:line="259" w:lineRule="auto"/>
      </w:pPr>
      <w:r>
        <w:lastRenderedPageBreak/>
        <w:t>Amalia</w:t>
      </w:r>
      <w:r w:rsidR="00851F07">
        <w:t xml:space="preserve"> X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2320"/>
        <w:gridCol w:w="3460"/>
      </w:tblGrid>
      <w:tr w:rsidR="00851F07" w:rsidRPr="000E1C33" w:rsidTr="00A66C08">
        <w:trPr>
          <w:trHeight w:val="380"/>
        </w:trPr>
        <w:tc>
          <w:tcPr>
            <w:tcW w:w="32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center"/>
            <w:hideMark/>
          </w:tcPr>
          <w:p w:rsidR="00851F07" w:rsidRPr="000E1C33" w:rsidRDefault="00851F07" w:rsidP="00A66C0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R</w:t>
            </w: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de-DE"/>
              </w:rPr>
              <w:t>2</w:t>
            </w:r>
          </w:p>
        </w:tc>
        <w:tc>
          <w:tcPr>
            <w:tcW w:w="2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0,0879</w:t>
            </w:r>
          </w:p>
        </w:tc>
        <w:tc>
          <w:tcPr>
            <w:tcW w:w="3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bottom"/>
            <w:hideMark/>
          </w:tcPr>
          <w:p w:rsidR="00851F07" w:rsidRPr="000E1C33" w:rsidRDefault="00851F07" w:rsidP="00A66C0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#DIV/0!</w:t>
            </w:r>
          </w:p>
        </w:tc>
      </w:tr>
      <w:tr w:rsidR="00851F07" w:rsidRPr="000E1C33" w:rsidTr="00A66C08">
        <w:trPr>
          <w:trHeight w:val="380"/>
        </w:trPr>
        <w:tc>
          <w:tcPr>
            <w:tcW w:w="32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851F07" w:rsidRPr="000E1C33" w:rsidRDefault="00851F07" w:rsidP="00A66C0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r</w:t>
            </w:r>
          </w:p>
        </w:tc>
        <w:tc>
          <w:tcPr>
            <w:tcW w:w="2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0,2965</w:t>
            </w:r>
          </w:p>
        </w:tc>
        <w:tc>
          <w:tcPr>
            <w:tcW w:w="3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#DIV/0!</w:t>
            </w:r>
          </w:p>
        </w:tc>
      </w:tr>
      <w:tr w:rsidR="00851F07" w:rsidRPr="000E1C33" w:rsidTr="00A66C08">
        <w:trPr>
          <w:trHeight w:val="380"/>
        </w:trPr>
        <w:tc>
          <w:tcPr>
            <w:tcW w:w="32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851F07" w:rsidRPr="000E1C33" w:rsidRDefault="00851F07" w:rsidP="00A66C0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n</w:t>
            </w:r>
          </w:p>
        </w:tc>
        <w:tc>
          <w:tcPr>
            <w:tcW w:w="2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95</w:t>
            </w:r>
          </w:p>
        </w:tc>
        <w:tc>
          <w:tcPr>
            <w:tcW w:w="3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DD7EE" w:fill="BDD7EE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95</w:t>
            </w:r>
          </w:p>
        </w:tc>
      </w:tr>
      <w:tr w:rsidR="00851F07" w:rsidRPr="000E1C33" w:rsidTr="00A66C08">
        <w:trPr>
          <w:trHeight w:val="380"/>
        </w:trPr>
        <w:tc>
          <w:tcPr>
            <w:tcW w:w="32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851F07" w:rsidRPr="000E1C33" w:rsidRDefault="00851F07" w:rsidP="00A66C0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t</w:t>
            </w:r>
          </w:p>
        </w:tc>
        <w:tc>
          <w:tcPr>
            <w:tcW w:w="2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DEBF7" w:fill="DDEBF7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2,9944</w:t>
            </w:r>
          </w:p>
        </w:tc>
        <w:tc>
          <w:tcPr>
            <w:tcW w:w="3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DEBF7" w:fill="DDEBF7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#DIV/0!</w:t>
            </w:r>
          </w:p>
        </w:tc>
      </w:tr>
      <w:tr w:rsidR="00851F07" w:rsidRPr="000E1C33" w:rsidTr="00A66C08">
        <w:trPr>
          <w:trHeight w:val="360"/>
        </w:trPr>
        <w:tc>
          <w:tcPr>
            <w:tcW w:w="32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851F07" w:rsidRPr="000E1C33" w:rsidRDefault="00851F07" w:rsidP="00A66C0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proofErr w:type="spellStart"/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df</w:t>
            </w:r>
            <w:proofErr w:type="spellEnd"/>
          </w:p>
        </w:tc>
        <w:tc>
          <w:tcPr>
            <w:tcW w:w="23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DD7EE" w:fill="BDD7EE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93</w:t>
            </w:r>
          </w:p>
        </w:tc>
        <w:tc>
          <w:tcPr>
            <w:tcW w:w="3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DD7EE" w:fill="BDD7EE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93</w:t>
            </w:r>
          </w:p>
        </w:tc>
      </w:tr>
      <w:tr w:rsidR="00851F07" w:rsidRPr="000E1C33" w:rsidTr="00A66C08">
        <w:trPr>
          <w:trHeight w:val="3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F07" w:rsidRPr="000E1C33" w:rsidRDefault="00851F07" w:rsidP="00A66C08">
            <w:pPr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851F07" w:rsidRPr="000E1C33" w:rsidTr="00A66C08">
        <w:trPr>
          <w:trHeight w:val="37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851F07" w:rsidRPr="000E1C33" w:rsidRDefault="00851F07" w:rsidP="00A66C0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p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0,003523279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851F07" w:rsidRPr="000E1C33" w:rsidRDefault="00851F07" w:rsidP="00A66C0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0E1C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#DIV/0!</w:t>
            </w:r>
          </w:p>
        </w:tc>
      </w:tr>
    </w:tbl>
    <w:p w:rsidR="00851F07" w:rsidRDefault="00851F07" w:rsidP="00851F07">
      <w:pPr>
        <w:spacing w:after="160" w:line="259" w:lineRule="auto"/>
      </w:pPr>
    </w:p>
    <w:p w:rsidR="00851F07" w:rsidRDefault="00851F07" w:rsidP="00851F07">
      <w:pPr>
        <w:spacing w:after="160" w:line="259" w:lineRule="auto"/>
      </w:pPr>
      <w:r>
        <w:rPr>
          <w:noProof/>
          <w:lang w:val="en-US" w:eastAsia="en-US"/>
        </w:rPr>
        <w:drawing>
          <wp:inline distT="0" distB="0" distL="0" distR="0" wp14:anchorId="329A0A75" wp14:editId="5A8FFF9F">
            <wp:extent cx="1358900" cy="558800"/>
            <wp:effectExtent l="95250" t="95250" r="88900" b="88900"/>
            <wp:docPr id="6" name="Grafik 5">
              <a:extLst xmlns:a="http://schemas.openxmlformats.org/drawingml/2006/main">
                <a:ext uri="{FF2B5EF4-FFF2-40B4-BE49-F238E27FC236}">
                  <a16:creationId xmlns:a16="http://schemas.microsoft.com/office/drawing/2014/main" id="{2EFAC5E9-243B-A046-8879-141E498478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>
                      <a:extLst>
                        <a:ext uri="{FF2B5EF4-FFF2-40B4-BE49-F238E27FC236}">
                          <a16:creationId xmlns:a16="http://schemas.microsoft.com/office/drawing/2014/main" id="{2EFAC5E9-243B-A046-8879-141E498478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558800"/>
                    </a:xfrm>
                    <a:prstGeom prst="rect">
                      <a:avLst/>
                    </a:prstGeom>
                    <a:ln w="101600" cmpd="thickThin">
                      <a:solidFill>
                        <a:schemeClr val="accent5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F7386" w:rsidRDefault="00BF7386" w:rsidP="00851F07">
      <w:pPr>
        <w:spacing w:after="160" w:line="259" w:lineRule="auto"/>
      </w:pPr>
    </w:p>
    <w:p w:rsidR="00851F07" w:rsidRDefault="00851F07" w:rsidP="00851F07">
      <w:pPr>
        <w:spacing w:after="160" w:line="259" w:lineRule="auto"/>
      </w:pPr>
      <w:r>
        <w:rPr>
          <w:noProof/>
          <w:lang w:val="en-US" w:eastAsia="en-US"/>
        </w:rPr>
        <w:drawing>
          <wp:inline distT="0" distB="0" distL="0" distR="0" wp14:anchorId="614E5DC9" wp14:editId="1670DEDC">
            <wp:extent cx="6220121" cy="2513976"/>
            <wp:effectExtent l="0" t="0" r="9525" b="6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760" cy="2524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1F07" w:rsidRDefault="00851F07" w:rsidP="00851F07">
      <w:pPr>
        <w:spacing w:after="160" w:line="259" w:lineRule="auto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51F07" w:rsidTr="00A66C08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F07" w:rsidRDefault="00BF7386" w:rsidP="00A66C08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Table </w:t>
            </w:r>
          </w:p>
          <w:p w:rsidR="00851F07" w:rsidRDefault="00851F07" w:rsidP="00A66C08">
            <w:pPr>
              <w:rPr>
                <w:b/>
                <w:i/>
              </w:rPr>
            </w:pPr>
          </w:p>
          <w:p w:rsidR="00851F07" w:rsidRDefault="00851F07" w:rsidP="00A66C08">
            <w:pPr>
              <w:rPr>
                <w:i/>
              </w:rPr>
            </w:pPr>
            <w:r>
              <w:rPr>
                <w:i/>
              </w:rPr>
              <w:t>Kendall rank coefficients</w:t>
            </w:r>
          </w:p>
          <w:p w:rsidR="00851F07" w:rsidRDefault="00851F07" w:rsidP="00A66C08"/>
        </w:tc>
      </w:tr>
      <w:tr w:rsidR="00851F07" w:rsidTr="00A66C08">
        <w:tc>
          <w:tcPr>
            <w:tcW w:w="3020" w:type="dxa"/>
            <w:tcBorders>
              <w:left w:val="nil"/>
              <w:bottom w:val="single" w:sz="4" w:space="0" w:color="auto"/>
              <w:right w:val="nil"/>
            </w:tcBorders>
          </w:tcPr>
          <w:p w:rsidR="00851F07" w:rsidRPr="00C94D83" w:rsidRDefault="00851F07" w:rsidP="00A66C08">
            <w:pPr>
              <w:jc w:val="center"/>
              <w:rPr>
                <w:i/>
              </w:rPr>
            </w:pPr>
            <w:r w:rsidRPr="00C94D83">
              <w:rPr>
                <w:i/>
              </w:rPr>
              <w:t>Dream series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  <w:right w:val="nil"/>
            </w:tcBorders>
          </w:tcPr>
          <w:p w:rsidR="00851F07" w:rsidRPr="00C94D83" w:rsidRDefault="00851F07" w:rsidP="00A66C08">
            <w:pPr>
              <w:jc w:val="center"/>
              <w:rPr>
                <w:i/>
              </w:rPr>
            </w:pPr>
            <w:r w:rsidRPr="00C94D83">
              <w:rPr>
                <w:i/>
              </w:rPr>
              <w:t>Coefficient</w:t>
            </w:r>
          </w:p>
        </w:tc>
        <w:tc>
          <w:tcPr>
            <w:tcW w:w="3021" w:type="dxa"/>
            <w:tcBorders>
              <w:left w:val="nil"/>
              <w:bottom w:val="single" w:sz="4" w:space="0" w:color="auto"/>
              <w:right w:val="nil"/>
            </w:tcBorders>
          </w:tcPr>
          <w:p w:rsidR="00851F07" w:rsidRPr="00C94D83" w:rsidRDefault="00851F07" w:rsidP="00A66C08">
            <w:pPr>
              <w:jc w:val="center"/>
              <w:rPr>
                <w:i/>
              </w:rPr>
            </w:pPr>
            <w:r w:rsidRPr="00C94D83">
              <w:rPr>
                <w:i/>
              </w:rPr>
              <w:t>p-value</w:t>
            </w:r>
          </w:p>
        </w:tc>
      </w:tr>
      <w:tr w:rsidR="00851F07" w:rsidTr="00A66C08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1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0.2165328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0.3204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2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0.2262779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0.3246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3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0.1107486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0.4472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0.2034801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0.2023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0.305108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0.205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6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0.1047982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0.5329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7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-0.04877565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0.7378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8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0.368035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0.1475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9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0.1445608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0.445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10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0.1261144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0.429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11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-0.4305385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0.0305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12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-0.4305385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0.0305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13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0.1129131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0.4611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14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-0.186321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0.3148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15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0.6048147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0.007073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**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16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0.6666667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0.3333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17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18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0.19518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0.5434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19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0.4001634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0.14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20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0.1906925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0.5208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21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0.1241322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0.4282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22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0.1973855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0.236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23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0.2614882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0.3567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24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0.2981424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0.4206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25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0.1135835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0.5265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26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0.2760262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0.276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27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0.3048029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0.1561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28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0.3215879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0.1533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29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0.230288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0.248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30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-0.1514189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0.4686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31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0.4889012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0.05557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32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0.2444456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0.07959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33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0.3234216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0.08819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34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0.1611646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0.5952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35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0.1193525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0.643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36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0.4642383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0.09831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37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0.0860663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0.8216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38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-0.4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0.4833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39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0.1143324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0.6733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40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0.2345088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0.3148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41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-0.2300219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0.3653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42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0.6481812 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0.01902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*</w:t>
            </w:r>
          </w:p>
        </w:tc>
      </w:tr>
      <w:tr w:rsidR="00851F07" w:rsidTr="00A66C08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F07" w:rsidRDefault="00851F07" w:rsidP="00A66C08">
            <w:pPr>
              <w:jc w:val="center"/>
            </w:pPr>
            <w:r>
              <w:t>43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F07" w:rsidRDefault="00851F07" w:rsidP="00A66C08">
            <w:pPr>
              <w:jc w:val="center"/>
            </w:pPr>
            <w:r w:rsidRPr="005C5EE0">
              <w:rPr>
                <w:rFonts w:ascii="Calibri" w:eastAsia="Times New Roman" w:hAnsi="Calibri" w:cs="Calibri"/>
                <w:color w:val="000000"/>
                <w:lang w:eastAsia="en-GB"/>
              </w:rPr>
              <w:t>0.5261368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F07" w:rsidRDefault="00851F07" w:rsidP="00A66C08">
            <w:pPr>
              <w:jc w:val="center"/>
            </w:pPr>
            <w:r w:rsidRPr="00C26E17">
              <w:rPr>
                <w:rFonts w:ascii="Calibri" w:eastAsia="Times New Roman" w:hAnsi="Calibri" w:cs="Calibri"/>
                <w:color w:val="000000"/>
                <w:lang w:eastAsia="en-GB"/>
              </w:rPr>
              <w:t>0.06309</w:t>
            </w:r>
          </w:p>
        </w:tc>
      </w:tr>
      <w:tr w:rsidR="00851F07" w:rsidTr="00A66C08">
        <w:tc>
          <w:tcPr>
            <w:tcW w:w="9062" w:type="dxa"/>
            <w:gridSpan w:val="3"/>
            <w:tcBorders>
              <w:left w:val="nil"/>
              <w:bottom w:val="nil"/>
              <w:right w:val="nil"/>
            </w:tcBorders>
          </w:tcPr>
          <w:p w:rsidR="00851F07" w:rsidRPr="00C94D83" w:rsidRDefault="00851F07" w:rsidP="00A66C08">
            <w:pPr>
              <w:rPr>
                <w:i/>
              </w:rPr>
            </w:pPr>
            <w:r>
              <w:rPr>
                <w:i/>
              </w:rPr>
              <w:t>Note: *p &lt; .05, **p &lt; .01</w:t>
            </w:r>
          </w:p>
        </w:tc>
      </w:tr>
    </w:tbl>
    <w:p w:rsidR="00851F07" w:rsidRDefault="00E730D1" w:rsidP="00851F07">
      <w:proofErr w:type="spellStart"/>
      <w:r>
        <w:t>Failed</w:t>
      </w:r>
      <w:proofErr w:type="spellEnd"/>
      <w:r>
        <w:t xml:space="preserve"> </w:t>
      </w:r>
      <w:proofErr w:type="spellStart"/>
      <w:r>
        <w:t>case</w:t>
      </w:r>
      <w:proofErr w:type="spellEnd"/>
      <w:r>
        <w:t>:</w:t>
      </w:r>
    </w:p>
    <w:p w:rsidR="00E730D1" w:rsidRDefault="00E730D1" w:rsidP="00851F07"/>
    <w:p w:rsidR="00E730D1" w:rsidRPr="00533786" w:rsidRDefault="00E730D1" w:rsidP="00E730D1">
      <w:pPr>
        <w:jc w:val="both"/>
        <w:rPr>
          <w:rFonts w:ascii="Arial" w:hAnsi="Arial" w:cs="Arial"/>
          <w:sz w:val="20"/>
          <w:szCs w:val="20"/>
        </w:rPr>
      </w:pPr>
    </w:p>
    <w:p w:rsidR="00E730D1" w:rsidRPr="00533786" w:rsidRDefault="00E730D1" w:rsidP="00E730D1">
      <w:pPr>
        <w:jc w:val="both"/>
        <w:rPr>
          <w:rFonts w:ascii="Arial" w:hAnsi="Arial" w:cs="Arial"/>
          <w:sz w:val="20"/>
          <w:szCs w:val="20"/>
        </w:rPr>
      </w:pPr>
      <w:r w:rsidRPr="00533786"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6789B13C" wp14:editId="2861363F">
            <wp:extent cx="3725839" cy="2648732"/>
            <wp:effectExtent l="0" t="0" r="825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646" cy="265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0D1" w:rsidRPr="00C34C46" w:rsidRDefault="00E730D1" w:rsidP="00E730D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 w:rsidRPr="00C34C46">
        <w:rPr>
          <w:rFonts w:ascii="Arial" w:hAnsi="Arial" w:cs="Arial"/>
          <w:sz w:val="20"/>
          <w:szCs w:val="20"/>
          <w:lang w:val="en-US"/>
        </w:rPr>
        <w:t xml:space="preserve">Significant negative rank correlation for case F12; * </w:t>
      </w:r>
      <w:r w:rsidRPr="00C34C46">
        <w:rPr>
          <w:rFonts w:ascii="Arial" w:hAnsi="Arial" w:cs="Arial"/>
          <w:i/>
          <w:iCs/>
          <w:sz w:val="20"/>
          <w:szCs w:val="20"/>
          <w:lang w:val="en-US"/>
        </w:rPr>
        <w:t xml:space="preserve">p </w:t>
      </w:r>
      <w:r w:rsidRPr="00C34C46">
        <w:rPr>
          <w:rFonts w:ascii="Arial" w:hAnsi="Arial" w:cs="Arial"/>
          <w:sz w:val="20"/>
          <w:szCs w:val="20"/>
          <w:lang w:val="en-US"/>
        </w:rPr>
        <w:t>&lt; .05.</w:t>
      </w:r>
    </w:p>
    <w:p w:rsidR="00E730D1" w:rsidRPr="00C34C46" w:rsidRDefault="00E730D1" w:rsidP="00851F07">
      <w:pPr>
        <w:rPr>
          <w:lang w:val="en-US"/>
        </w:rPr>
      </w:pPr>
    </w:p>
    <w:p w:rsidR="006D1B4B" w:rsidRPr="00C34C46" w:rsidRDefault="006D1B4B" w:rsidP="006D1B4B">
      <w:pPr>
        <w:rPr>
          <w:lang w:val="en-US"/>
        </w:rPr>
      </w:pPr>
    </w:p>
    <w:p w:rsidR="006D1B4B" w:rsidRPr="00C34C46" w:rsidRDefault="006D1B4B" w:rsidP="006D1B4B">
      <w:pPr>
        <w:rPr>
          <w:lang w:val="en-US"/>
        </w:rPr>
      </w:pPr>
    </w:p>
    <w:sectPr w:rsidR="006D1B4B" w:rsidRPr="00C34C46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F07" w:rsidRDefault="00851F07" w:rsidP="006D1B4B">
      <w:r>
        <w:separator/>
      </w:r>
    </w:p>
  </w:endnote>
  <w:endnote w:type="continuationSeparator" w:id="0">
    <w:p w:rsidR="00851F07" w:rsidRDefault="00851F07" w:rsidP="006D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4B" w:rsidRDefault="006D1B4B" w:rsidP="006D1B4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F07" w:rsidRDefault="00851F07" w:rsidP="006D1B4B">
      <w:r>
        <w:separator/>
      </w:r>
    </w:p>
  </w:footnote>
  <w:footnote w:type="continuationSeparator" w:id="0">
    <w:p w:rsidR="00851F07" w:rsidRDefault="00851F07" w:rsidP="006D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E61"/>
    <w:multiLevelType w:val="hybridMultilevel"/>
    <w:tmpl w:val="6CF0C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D0DE5"/>
    <w:multiLevelType w:val="hybridMultilevel"/>
    <w:tmpl w:val="0C789C92"/>
    <w:lvl w:ilvl="0" w:tplc="D7A6A172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21C3D0B-4F0A-47BE-9298-898E9E96B1F5}"/>
    <w:docVar w:name="dgnword-eventsink" w:val="528573968"/>
  </w:docVars>
  <w:rsids>
    <w:rsidRoot w:val="00851F07"/>
    <w:rsid w:val="000E08DC"/>
    <w:rsid w:val="000F3AF4"/>
    <w:rsid w:val="001C6F63"/>
    <w:rsid w:val="0021245F"/>
    <w:rsid w:val="002D5866"/>
    <w:rsid w:val="004178EE"/>
    <w:rsid w:val="004229C2"/>
    <w:rsid w:val="00622DFF"/>
    <w:rsid w:val="00625562"/>
    <w:rsid w:val="006D1B4B"/>
    <w:rsid w:val="00851F07"/>
    <w:rsid w:val="00A2382B"/>
    <w:rsid w:val="00A817B9"/>
    <w:rsid w:val="00AF5696"/>
    <w:rsid w:val="00BF7386"/>
    <w:rsid w:val="00C34C46"/>
    <w:rsid w:val="00D44796"/>
    <w:rsid w:val="00E730D1"/>
    <w:rsid w:val="00E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D6CE6-6B26-4DCE-85C4-D72498E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 11pt"/>
    <w:qFormat/>
    <w:rsid w:val="00851F0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2DFF"/>
    <w:pPr>
      <w:keepNext/>
      <w:keepLines/>
      <w:spacing w:before="360" w:after="120" w:line="259" w:lineRule="auto"/>
      <w:jc w:val="both"/>
      <w:outlineLvl w:val="0"/>
    </w:pPr>
    <w:rPr>
      <w:rFonts w:asciiTheme="majorHAnsi" w:eastAsiaTheme="majorEastAsia" w:hAnsiTheme="majorHAnsi" w:cstheme="majorBidi"/>
      <w:b/>
      <w:color w:val="932136" w:themeColor="accent1"/>
      <w:sz w:val="28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2DFF"/>
    <w:pPr>
      <w:keepNext/>
      <w:keepLines/>
      <w:spacing w:before="160" w:after="120" w:line="259" w:lineRule="auto"/>
      <w:jc w:val="both"/>
      <w:outlineLvl w:val="1"/>
    </w:pPr>
    <w:rPr>
      <w:rFonts w:asciiTheme="majorHAnsi" w:eastAsiaTheme="majorEastAsia" w:hAnsiTheme="majorHAnsi" w:cstheme="majorBidi"/>
      <w:b/>
      <w:color w:val="932136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622DFF"/>
    <w:pPr>
      <w:keepNext/>
      <w:keepLines/>
      <w:spacing w:before="280" w:after="240"/>
      <w:jc w:val="both"/>
      <w:outlineLvl w:val="2"/>
    </w:pPr>
    <w:rPr>
      <w:rFonts w:asciiTheme="majorHAnsi" w:eastAsiaTheme="majorEastAsia" w:hAnsiTheme="majorHAnsi" w:cstheme="majorBidi"/>
      <w:b/>
      <w:color w:val="932136" w:themeColor="accent1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22DFF"/>
    <w:pPr>
      <w:keepNext/>
      <w:keepLines/>
      <w:spacing w:before="160" w:after="120" w:line="259" w:lineRule="auto"/>
      <w:jc w:val="both"/>
      <w:outlineLvl w:val="3"/>
    </w:pPr>
    <w:rPr>
      <w:rFonts w:asciiTheme="majorHAnsi" w:eastAsiaTheme="majorEastAsia" w:hAnsiTheme="majorHAnsi" w:cstheme="majorBidi"/>
      <w:b/>
      <w:iCs/>
      <w:color w:val="932136" w:themeColor="accent1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622DFF"/>
    <w:pPr>
      <w:keepNext/>
      <w:keepLines/>
      <w:spacing w:before="160" w:after="120" w:line="259" w:lineRule="auto"/>
      <w:jc w:val="both"/>
      <w:outlineLvl w:val="4"/>
    </w:pPr>
    <w:rPr>
      <w:rFonts w:asciiTheme="majorHAnsi" w:eastAsiaTheme="majorEastAsia" w:hAnsiTheme="majorHAnsi" w:cstheme="majorBidi"/>
      <w:color w:val="932136" w:themeColor="accent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2pt">
    <w:name w:val="Text 12 pt"/>
    <w:basedOn w:val="Standard"/>
    <w:link w:val="Text12ptZchn"/>
    <w:qFormat/>
    <w:rsid w:val="00EC3BB6"/>
    <w:pPr>
      <w:spacing w:line="259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2DFF"/>
    <w:rPr>
      <w:rFonts w:asciiTheme="majorHAnsi" w:eastAsiaTheme="majorEastAsia" w:hAnsiTheme="majorHAnsi" w:cstheme="majorBidi"/>
      <w:b/>
      <w:color w:val="932136" w:themeColor="accent1"/>
      <w:sz w:val="28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rsid w:val="00AF5696"/>
    <w:pPr>
      <w:numPr>
        <w:ilvl w:val="1"/>
      </w:numPr>
      <w:spacing w:line="259" w:lineRule="auto"/>
      <w:jc w:val="both"/>
    </w:pPr>
    <w:rPr>
      <w:rFonts w:asciiTheme="minorHAnsi" w:eastAsiaTheme="minorEastAsia" w:hAnsiTheme="minorHAnsi" w:cstheme="minorBidi"/>
      <w:b/>
      <w:color w:val="000000" w:themeColor="text1"/>
      <w:spacing w:val="15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5696"/>
    <w:rPr>
      <w:rFonts w:eastAsiaTheme="minorEastAsia"/>
      <w:b/>
      <w:color w:val="000000" w:themeColor="text1"/>
      <w:spacing w:val="15"/>
      <w:sz w:val="24"/>
    </w:rPr>
  </w:style>
  <w:style w:type="character" w:styleId="SchwacheHervorhebung">
    <w:name w:val="Subtle Emphasis"/>
    <w:basedOn w:val="Absatz-Standardschriftart"/>
    <w:uiPriority w:val="19"/>
    <w:rsid w:val="00A817B9"/>
    <w:rPr>
      <w:i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uiPriority w:val="10"/>
    <w:rsid w:val="000E08DC"/>
    <w:pPr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0E08DC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2DFF"/>
    <w:rPr>
      <w:rFonts w:asciiTheme="majorHAnsi" w:eastAsiaTheme="majorEastAsia" w:hAnsiTheme="majorHAnsi" w:cstheme="majorBidi"/>
      <w:b/>
      <w:color w:val="932136" w:themeColor="accent1"/>
      <w:sz w:val="26"/>
      <w:szCs w:val="26"/>
    </w:rPr>
  </w:style>
  <w:style w:type="character" w:styleId="IntensiverVerweis">
    <w:name w:val="Intense Reference"/>
    <w:basedOn w:val="Absatz-Standardschriftart"/>
    <w:uiPriority w:val="32"/>
    <w:rsid w:val="00A817B9"/>
    <w:rPr>
      <w:b/>
      <w:bCs/>
      <w:smallCaps/>
      <w:color w:val="932136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817B9"/>
    <w:pPr>
      <w:pBdr>
        <w:top w:val="single" w:sz="4" w:space="10" w:color="932136" w:themeColor="accent1"/>
        <w:bottom w:val="single" w:sz="4" w:space="10" w:color="932136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932136" w:themeColor="accent1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17B9"/>
    <w:rPr>
      <w:i/>
      <w:iCs/>
      <w:color w:val="932136" w:themeColor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22DFF"/>
    <w:rPr>
      <w:rFonts w:asciiTheme="majorHAnsi" w:eastAsiaTheme="majorEastAsia" w:hAnsiTheme="majorHAnsi" w:cstheme="majorBidi"/>
      <w:b/>
      <w:color w:val="932136" w:themeColor="accen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22DFF"/>
    <w:rPr>
      <w:rFonts w:asciiTheme="majorHAnsi" w:eastAsiaTheme="majorEastAsia" w:hAnsiTheme="majorHAnsi" w:cstheme="majorBidi"/>
      <w:b/>
      <w:iCs/>
      <w:color w:val="932136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22DFF"/>
    <w:rPr>
      <w:rFonts w:asciiTheme="majorHAnsi" w:eastAsiaTheme="majorEastAsia" w:hAnsiTheme="majorHAnsi" w:cstheme="majorBidi"/>
      <w:color w:val="932136" w:themeColor="accent1"/>
    </w:rPr>
  </w:style>
  <w:style w:type="paragraph" w:styleId="Listenabsatz">
    <w:name w:val="List Paragraph"/>
    <w:basedOn w:val="Standard"/>
    <w:uiPriority w:val="34"/>
    <w:rsid w:val="006D1B4B"/>
    <w:pPr>
      <w:spacing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6D1B4B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D1B4B"/>
  </w:style>
  <w:style w:type="paragraph" w:styleId="Fuzeile">
    <w:name w:val="footer"/>
    <w:basedOn w:val="Standard"/>
    <w:link w:val="FuzeileZchn"/>
    <w:uiPriority w:val="99"/>
    <w:unhideWhenUsed/>
    <w:rsid w:val="006D1B4B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D1B4B"/>
  </w:style>
  <w:style w:type="character" w:customStyle="1" w:styleId="Text12ptZchn">
    <w:name w:val="Text 12 pt Zchn"/>
    <w:basedOn w:val="Absatz-Standardschriftart"/>
    <w:link w:val="Text12pt"/>
    <w:rsid w:val="00EC3BB6"/>
    <w:rPr>
      <w:sz w:val="24"/>
      <w:szCs w:val="24"/>
    </w:rPr>
  </w:style>
  <w:style w:type="table" w:styleId="Tabellenraster">
    <w:name w:val="Table Grid"/>
    <w:basedOn w:val="NormaleTabelle"/>
    <w:uiPriority w:val="39"/>
    <w:rsid w:val="00851F0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KH Freiburg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932136"/>
      </a:accent1>
      <a:accent2>
        <a:srgbClr val="549E26"/>
      </a:accent2>
      <a:accent3>
        <a:srgbClr val="004E92"/>
      </a:accent3>
      <a:accent4>
        <a:srgbClr val="FFFFFF"/>
      </a:accent4>
      <a:accent5>
        <a:srgbClr val="FFFFFF"/>
      </a:accent5>
      <a:accent6>
        <a:srgbClr val="FFFFFF"/>
      </a:accent6>
      <a:hlink>
        <a:srgbClr val="004E92"/>
      </a:hlink>
      <a:folHlink>
        <a:srgbClr val="93213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0EC2C-9C2C-4160-B341-69D6851E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Katholische Hochschule Freiburg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Roesler, Christian</dc:creator>
  <cp:keywords/>
  <dc:description/>
  <cp:lastModifiedBy>Schredl, Michael</cp:lastModifiedBy>
  <cp:revision>2</cp:revision>
  <dcterms:created xsi:type="dcterms:W3CDTF">2024-08-30T08:35:00Z</dcterms:created>
  <dcterms:modified xsi:type="dcterms:W3CDTF">2024-08-30T08:35:00Z</dcterms:modified>
</cp:coreProperties>
</file>