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krper"/>
        <w:spacing w:before="170" w:after="170"/>
        <w:rPr>
          <w:b/>
          <w:b/>
          <w:bCs/>
        </w:rPr>
      </w:pPr>
      <w:r>
        <w:rPr>
          <w:b/>
          <w:bCs/>
        </w:rPr>
        <w:t>Mapping the Words (Roeder) – f</w:t>
      </w:r>
      <w:r>
        <w:rPr>
          <w:b/>
          <w:bCs/>
        </w:rPr>
        <w:t xml:space="preserve">igures </w:t>
      </w:r>
      <w:r>
        <w:rPr>
          <w:b/>
          <w:bCs/>
        </w:rPr>
        <w:t>and legends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1: 01_aristotle.png</w:t>
      </w:r>
    </w:p>
    <w:p>
      <w:pPr>
        <w:pStyle w:val="Textkrper"/>
        <w:rPr/>
      </w:pPr>
      <w:r>
        <w:rPr/>
        <w:t xml:space="preserve">Aristotle teaching, from Kitāb naʿt al-hayawān, 7th century AH (13th century AD), British Library, MS Or. 2784, fol. 96r. Reproduced and quoted after: </w:t>
      </w:r>
      <w:r>
        <w:rPr/>
        <w:t>Nasr (1976), 50, plate 22.</w:t>
      </w:r>
    </w:p>
    <w:p>
      <w:pPr>
        <w:pStyle w:val="Textkrper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Textkrper"/>
        <w:rPr>
          <w:i w:val="false"/>
          <w:i w:val="false"/>
          <w:iCs w:val="false"/>
        </w:rPr>
      </w:pPr>
      <w:r>
        <w:rPr>
          <w:i w:val="false"/>
          <w:iCs w:val="false"/>
        </w:rPr>
        <w:t>figure 2: 02_word-record-logos.png</w:t>
      </w:r>
    </w:p>
    <w:p>
      <w:pPr>
        <w:pStyle w:val="Textkrper"/>
        <w:rPr/>
      </w:pPr>
      <w:r>
        <w:rPr>
          <w:i w:val="false"/>
          <w:iCs w:val="false"/>
        </w:rPr>
        <w:t>Glossarium Graeco-Arabicum, Wo</w:t>
      </w:r>
      <w:r>
        <w:rPr>
          <w:i w:val="false"/>
          <w:iCs w:val="false"/>
        </w:rPr>
        <w:t xml:space="preserve">rd record </w:t>
      </w:r>
      <w:r>
        <w:rPr>
          <w:i w:val="false"/>
          <w:iCs w:val="false"/>
        </w:rPr>
        <w:t xml:space="preserve">for </w:t>
      </w:r>
      <w:r>
        <w:rPr>
          <w:i w:val="false"/>
          <w:iCs w:val="false"/>
        </w:rPr>
        <w:t xml:space="preserve">λόγος / </w:t>
      </w:r>
      <w:r>
        <w:rPr>
          <w:i w:val="false"/>
          <w:i w:val="false"/>
          <w:iCs w:val="false"/>
          <w:rtl w:val="true"/>
          <w:lang w:bidi="ar-SA"/>
        </w:rPr>
        <w:t>قول</w:t>
      </w:r>
      <w:r>
        <w:rPr>
          <w:i w:val="false"/>
          <w:iCs w:val="false"/>
        </w:rPr>
        <w:t xml:space="preserve">. </w:t>
      </w:r>
      <w:r>
        <w:rPr>
          <w:i w:val="false"/>
          <w:iCs w:val="false"/>
        </w:rPr>
        <w:t>https://telotadev.bbaw.de/glossga/glossary.php?id=131860</w:t>
      </w:r>
      <w:r>
        <w:rPr>
          <w:i w:val="false"/>
          <w:iCs w:val="false"/>
        </w:rPr>
        <w:t xml:space="preserve"> </w:t>
      </w:r>
      <w:r>
        <w:rPr>
          <w:i w:val="false"/>
          <w:iCs w:val="false"/>
        </w:rPr>
        <w:t>(</w:t>
      </w:r>
      <w:r>
        <w:rPr>
          <w:i w:val="false"/>
          <w:iCs w:val="false"/>
        </w:rPr>
        <w:t xml:space="preserve">screenshot taken on </w:t>
      </w:r>
      <w:r>
        <w:rPr>
          <w:i w:val="false"/>
          <w:iCs w:val="false"/>
        </w:rPr>
        <w:t xml:space="preserve">January 17, </w:t>
      </w:r>
      <w:r>
        <w:rPr>
          <w:i w:val="false"/>
          <w:iCs w:val="false"/>
        </w:rPr>
        <w:t>2016</w:t>
      </w:r>
      <w:r>
        <w:rPr>
          <w:i w:val="false"/>
          <w:iCs w:val="false"/>
        </w:rPr>
        <w:t>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3: 03_filecards.png</w:t>
      </w:r>
    </w:p>
    <w:p>
      <w:pPr>
        <w:pStyle w:val="Textkrper"/>
        <w:rPr/>
      </w:pPr>
      <w:r>
        <w:rPr/>
        <w:t xml:space="preserve">File cards used to compile GALex and Glossarium Graeco-Arabicum respectively. Photo: </w:t>
      </w:r>
      <w:r>
        <w:rPr>
          <w:i w:val="false"/>
          <w:iCs w:val="false"/>
        </w:rPr>
        <w:t>privat</w:t>
      </w:r>
      <w:r>
        <w:rPr>
          <w:i w:val="false"/>
          <w:iCs w:val="false"/>
        </w:rPr>
        <w:t>e</w:t>
      </w:r>
      <w:r>
        <w:rPr>
          <w:i w:val="false"/>
          <w:iCs w:val="false"/>
        </w:rPr>
        <w:t>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4: 04_hunaynnet-logos.png</w:t>
      </w:r>
    </w:p>
    <w:p>
      <w:pPr>
        <w:pStyle w:val="Textkrper"/>
        <w:rPr/>
      </w:pPr>
      <w:r>
        <w:rPr/>
        <w:t>A preliminary example of a tri-lingual entry in the future dat</w:t>
      </w:r>
      <w:r>
        <w:rPr/>
        <w:t>abase HunayNet, display</w:t>
      </w:r>
      <w:r>
        <w:rPr/>
        <w:t xml:space="preserve">ing Syriac and Arabic translations for </w:t>
      </w:r>
      <w:r>
        <w:rPr>
          <w:i w:val="false"/>
          <w:iCs w:val="false"/>
        </w:rPr>
        <w:t>λόγος</w:t>
      </w:r>
      <w:r>
        <w:rPr>
          <w:i w:val="false"/>
          <w:iCs w:val="false"/>
        </w:rPr>
        <w:t xml:space="preserve"> </w:t>
      </w:r>
      <w:r>
        <w:rPr>
          <w:i w:val="false"/>
          <w:iCs w:val="false"/>
        </w:rPr>
        <w:t>(</w:t>
      </w:r>
      <w:r>
        <w:rPr>
          <w:i w:val="false"/>
          <w:iCs w:val="false"/>
        </w:rPr>
        <w:t xml:space="preserve">created on </w:t>
      </w:r>
      <w:r>
        <w:rPr>
          <w:i w:val="false"/>
          <w:iCs w:val="false"/>
        </w:rPr>
        <w:t>September 20</w:t>
      </w:r>
      <w:r>
        <w:rPr>
          <w:i w:val="false"/>
          <w:iCs w:val="false"/>
        </w:rPr>
        <w:t xml:space="preserve">, </w:t>
      </w:r>
      <w:r>
        <w:rPr>
          <w:i w:val="false"/>
          <w:iCs w:val="false"/>
        </w:rPr>
        <w:t>201</w:t>
      </w:r>
      <w:r>
        <w:rPr>
          <w:i w:val="false"/>
          <w:iCs w:val="false"/>
        </w:rPr>
        <w:t>5</w:t>
      </w:r>
      <w:r>
        <w:rPr>
          <w:i w:val="false"/>
          <w:iCs w:val="false"/>
        </w:rPr>
        <w:t>).</w:t>
      </w:r>
    </w:p>
    <w:p>
      <w:pPr>
        <w:pStyle w:val="Textkrper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Textkrper"/>
        <w:rPr/>
      </w:pPr>
      <w:r>
        <w:rPr/>
        <w:t>figure 5: 05_astronomers.png</w:t>
      </w:r>
    </w:p>
    <w:p>
      <w:pPr>
        <w:pStyle w:val="Textkrper"/>
        <w:rPr/>
      </w:pPr>
      <w:r>
        <w:rPr>
          <w:i w:val="false"/>
          <w:iCs w:val="false"/>
        </w:rPr>
        <w:t>Astronome</w:t>
      </w:r>
      <w:r>
        <w:rPr>
          <w:i w:val="false"/>
          <w:iCs w:val="false"/>
        </w:rPr>
        <w:t>rs working</w:t>
      </w:r>
      <w:r>
        <w:rPr/>
        <w:t xml:space="preserve">, from Shāhanshāhī-nāmah, 10th century AH (16th century AD), University Library Istanbul, MS No. FY 1404. Reproduced and quoted after: Nasr </w:t>
      </w:r>
      <w:r>
        <w:rPr/>
        <w:t>(</w:t>
      </w:r>
      <w:r>
        <w:rPr>
          <w:i w:val="false"/>
          <w:iCs w:val="false"/>
        </w:rPr>
        <w:t>1976</w:t>
      </w:r>
      <w:r>
        <w:rPr>
          <w:i w:val="false"/>
          <w:iCs w:val="false"/>
        </w:rPr>
        <w:t>)</w:t>
      </w:r>
      <w:r>
        <w:rPr>
          <w:i w:val="false"/>
          <w:iCs w:val="false"/>
        </w:rPr>
        <w:t xml:space="preserve">, </w:t>
      </w:r>
      <w:r>
        <w:rPr>
          <w:i w:val="false"/>
          <w:iCs w:val="false"/>
        </w:rPr>
        <w:t xml:space="preserve">113, </w:t>
      </w:r>
      <w:r>
        <w:rPr>
          <w:i w:val="false"/>
          <w:iCs w:val="false"/>
        </w:rPr>
        <w:t>p</w:t>
      </w:r>
      <w:r>
        <w:rPr>
          <w:i w:val="false"/>
          <w:iCs w:val="false"/>
        </w:rPr>
        <w:t xml:space="preserve">late 65 </w:t>
      </w:r>
      <w:r>
        <w:rPr>
          <w:i w:val="false"/>
          <w:iCs w:val="false"/>
        </w:rPr>
        <w:t>(detail)</w:t>
      </w:r>
      <w:r>
        <w:rPr>
          <w:i w:val="false"/>
          <w:iCs w:val="false"/>
        </w:rPr>
        <w:t>.</w:t>
      </w:r>
    </w:p>
    <w:p>
      <w:pPr>
        <w:pStyle w:val="Textkrper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Textkrper"/>
        <w:rPr>
          <w:i w:val="false"/>
          <w:i w:val="false"/>
          <w:iCs w:val="false"/>
        </w:rPr>
      </w:pPr>
      <w:r>
        <w:rPr>
          <w:i w:val="false"/>
          <w:iCs w:val="false"/>
        </w:rPr>
        <w:t>figure 6: 06_corpus-treemap-by-source.png</w:t>
      </w:r>
    </w:p>
    <w:p>
      <w:pPr>
        <w:pStyle w:val="Textkrper"/>
        <w:rPr/>
      </w:pPr>
      <w:r>
        <w:rPr/>
        <w:t>Glossarium Graeco-Arabicum, Corp</w:t>
      </w:r>
      <w:r>
        <w:rPr>
          <w:i w:val="false"/>
          <w:iCs w:val="false"/>
        </w:rPr>
        <w:t xml:space="preserve">us Treemap by Source. </w:t>
      </w:r>
      <w:r>
        <w:rPr/>
        <w:t xml:space="preserve">https://telotadev.bbaw.de/glossga/source_charts.php?chart_type=corpus-treemap (screenshot taken on </w:t>
      </w:r>
      <w:r>
        <w:rPr>
          <w:i w:val="false"/>
          <w:iCs w:val="false"/>
        </w:rPr>
        <w:t xml:space="preserve">January 16, </w:t>
      </w:r>
      <w:r>
        <w:rPr/>
        <w:t>2016).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7: 07_corpus-treemap-by-author.png</w:t>
      </w:r>
    </w:p>
    <w:p>
      <w:pPr>
        <w:pStyle w:val="Textkrper"/>
        <w:rPr/>
      </w:pPr>
      <w:r>
        <w:rPr/>
        <w:t>Glossarium Graeco-Arabicum, Corpu</w:t>
      </w:r>
      <w:r>
        <w:rPr>
          <w:i w:val="false"/>
          <w:iCs w:val="false"/>
        </w:rPr>
        <w:t xml:space="preserve">s Treemap by Author. </w:t>
      </w:r>
      <w:r>
        <w:rPr/>
        <w:t xml:space="preserve">https://telotadev.bbaw.de/glossga/author_charts.php?chart_type=corpus-treemap (screenshot taken on </w:t>
      </w:r>
      <w:r>
        <w:rPr>
          <w:i w:val="false"/>
          <w:iCs w:val="false"/>
        </w:rPr>
        <w:t xml:space="preserve">January </w:t>
      </w:r>
      <w:r>
        <w:rPr/>
        <w:t>16, 2016).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8: 08_timemap.png</w:t>
      </w:r>
    </w:p>
    <w:p>
      <w:pPr>
        <w:pStyle w:val="Textkrper"/>
        <w:rPr/>
      </w:pPr>
      <w:r>
        <w:rPr/>
        <w:t>Glossarium Graeco-Arabicum, Author and Translator Timemap. https://telotadev.bbaw.de/glossga/author_charts.php?chart_type=timeline (</w:t>
      </w:r>
      <w:r>
        <w:rPr/>
        <w:t xml:space="preserve">screenshot taken on </w:t>
      </w:r>
      <w:r>
        <w:rPr/>
        <w:t>January 16, 2016).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9: 09_distinct-lexemes-by-source.png</w:t>
      </w:r>
    </w:p>
    <w:p>
      <w:pPr>
        <w:pStyle w:val="Textkrper"/>
        <w:rPr/>
      </w:pPr>
      <w:r>
        <w:rPr/>
        <w:t xml:space="preserve">Glossarium Graeco-Arabicum, Distinct Lexemes by Source. </w:t>
      </w:r>
      <w:r>
        <w:rPr/>
        <w:t xml:space="preserve">https://telotadev.bbaw.de/glossga/source_charts.php?chart_type=distinct-lexemes (screenshot taken on </w:t>
      </w:r>
      <w:r>
        <w:rPr>
          <w:i w:val="false"/>
          <w:iCs w:val="false"/>
        </w:rPr>
        <w:t xml:space="preserve">January </w:t>
      </w:r>
      <w:r>
        <w:rPr/>
        <w:t>16, 2016).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10: 10_distinct-lexemes-by-translator.png</w:t>
      </w:r>
    </w:p>
    <w:p>
      <w:pPr>
        <w:pStyle w:val="Textkrper"/>
        <w:rPr/>
      </w:pPr>
      <w:r>
        <w:rPr/>
        <w:t xml:space="preserve">Distinct Lexemes by Translator. </w:t>
      </w:r>
      <w:r>
        <w:rPr/>
        <w:t xml:space="preserve">https://telotadev.bbaw.de/glossga/author_charts.php?chart_type=distinct-lexemes (screenshot taken on </w:t>
      </w:r>
      <w:r>
        <w:rPr>
          <w:i w:val="false"/>
          <w:iCs w:val="false"/>
        </w:rPr>
        <w:t xml:space="preserve">January </w:t>
      </w:r>
      <w:r>
        <w:rPr/>
        <w:t>16, 2016).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11: 11_pos-hunayn.png</w:t>
      </w:r>
    </w:p>
    <w:p>
      <w:pPr>
        <w:pStyle w:val="Textkrper"/>
        <w:rPr/>
      </w:pPr>
      <w:r>
        <w:rPr>
          <w:i w:val="false"/>
          <w:iCs w:val="false"/>
        </w:rPr>
        <w:t xml:space="preserve">Compared Parts of Speech for </w:t>
      </w:r>
      <w:r>
        <w:rPr>
          <w:i w:val="false"/>
          <w:iCs w:val="false"/>
        </w:rPr>
        <w:t xml:space="preserve">Ḥunayn b. Isḥāq. </w:t>
      </w:r>
      <w:r>
        <w:rPr/>
        <w:t xml:space="preserve">https://telotadev.bbaw.de/glossga/author_charts.php?person_id=100039&amp;chart_type=compared-pos-grid (screenshot taken on </w:t>
      </w:r>
      <w:r>
        <w:rPr>
          <w:i w:val="false"/>
          <w:iCs w:val="false"/>
        </w:rPr>
        <w:t xml:space="preserve">January </w:t>
      </w:r>
      <w:r>
        <w:rPr/>
        <w:t>18, 2016).</w:t>
      </w:r>
    </w:p>
    <w:p>
      <w:pPr>
        <w:pStyle w:val="Textkrper"/>
        <w:rPr/>
      </w:pPr>
      <w:r>
        <w:rPr/>
      </w:r>
    </w:p>
    <w:p>
      <w:pPr>
        <w:pStyle w:val="Textkrper"/>
        <w:rPr>
          <w:i w:val="false"/>
          <w:i w:val="false"/>
          <w:iCs w:val="false"/>
        </w:rPr>
      </w:pPr>
      <w:r>
        <w:rPr>
          <w:i w:val="false"/>
          <w:iCs w:val="false"/>
        </w:rPr>
        <w:t>figure 12: 12_pos-ishaq.png</w:t>
      </w:r>
    </w:p>
    <w:p>
      <w:pPr>
        <w:pStyle w:val="Textkrper"/>
        <w:rPr/>
      </w:pPr>
      <w:r>
        <w:rPr>
          <w:i w:val="false"/>
          <w:iCs w:val="false"/>
        </w:rPr>
        <w:t xml:space="preserve">Compared Parts of Speech for </w:t>
      </w:r>
      <w:r>
        <w:rPr>
          <w:i w:val="false"/>
          <w:iCs w:val="false"/>
        </w:rPr>
        <w:t xml:space="preserve">Isḥāq b. Ḥunayn. </w:t>
      </w:r>
      <w:r>
        <w:rPr/>
        <w:t xml:space="preserve">https://telotadev.bbaw.de/glossga/author_charts.php?person_id=100026&amp;chart_type=compared-pos-grid (screenshot taken on </w:t>
      </w:r>
      <w:r>
        <w:rPr>
          <w:i w:val="false"/>
          <w:iCs w:val="false"/>
        </w:rPr>
        <w:t xml:space="preserve">January </w:t>
      </w:r>
      <w:r>
        <w:rPr/>
        <w:t>18, 2016).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13: 13_translation-scheme-anthropos.png</w:t>
      </w:r>
    </w:p>
    <w:p>
      <w:pPr>
        <w:pStyle w:val="Textkrper"/>
        <w:rPr/>
      </w:pPr>
      <w:r>
        <w:rPr>
          <w:i w:val="false"/>
          <w:iCs w:val="false"/>
        </w:rPr>
        <w:t xml:space="preserve">Translation process scheme for ἄνθρωπος. </w:t>
      </w:r>
      <w:r>
        <w:rPr/>
        <w:t xml:space="preserve">https://telotadev.bbaw.de/glossga/glossary.php?gr_lexeme=ἄνθρωπος (screenshot taken on </w:t>
      </w:r>
      <w:r>
        <w:rPr>
          <w:i w:val="false"/>
          <w:iCs w:val="false"/>
        </w:rPr>
        <w:t xml:space="preserve">January 17, </w:t>
      </w:r>
      <w:r>
        <w:rPr/>
        <w:t>2016).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/>
        <w:t>figure 14: 14_translation-scheme-dios.png</w:t>
      </w:r>
    </w:p>
    <w:p>
      <w:pPr>
        <w:pStyle w:val="Textkrper"/>
        <w:rPr/>
      </w:pPr>
      <w:r>
        <w:rPr>
          <w:i w:val="false"/>
          <w:iCs w:val="false"/>
        </w:rPr>
        <w:t>Translation process scheme for θεός</w:t>
      </w:r>
      <w:r>
        <w:rPr>
          <w:i w:val="false"/>
          <w:iCs w:val="false"/>
        </w:rPr>
        <w:t xml:space="preserve">. </w:t>
      </w:r>
      <w:r>
        <w:rPr/>
        <w:t xml:space="preserve">https://telotadev.bbaw.de/glossga/glossary.php?gr_lexeme=θεός (screenshot taken on </w:t>
      </w:r>
      <w:r>
        <w:rPr>
          <w:i w:val="false"/>
          <w:iCs w:val="false"/>
        </w:rPr>
        <w:t xml:space="preserve">January </w:t>
      </w:r>
      <w:r>
        <w:rPr/>
        <w:t>18, 2016).</w:t>
      </w:r>
    </w:p>
    <w:p>
      <w:pPr>
        <w:pStyle w:val="Textkrper"/>
        <w:spacing w:before="170" w:after="170"/>
        <w:rPr/>
      </w:pPr>
      <w:r>
        <w:rPr/>
      </w:r>
    </w:p>
    <w:sectPr>
      <w:type w:val="nextPage"/>
      <w:pgSz w:w="11905" w:h="16837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auto"/>
    <w:pitch w:val="default"/>
  </w:font>
  <w:font w:name="Liberation Mono">
    <w:altName w:val="Courier New"/>
    <w:charset w:val="00"/>
    <w:family w:val="modern"/>
    <w:pitch w:val="fixed"/>
  </w:font>
  <w:font w:name="Traditional Arabic">
    <w:charset w:val="00"/>
    <w:family w:val="roman"/>
    <w:pitch w:val="variable"/>
  </w:font>
  <w:font w:name="Mangal">
    <w:charset w:val="00"/>
    <w:family w:val="roman"/>
    <w:pitch w:val="default"/>
  </w:font>
  <w:font w:name="Liberation Mono">
    <w:altName w:val="Courier New"/>
    <w:charset w:val="00"/>
    <w:family w:val="roman"/>
    <w:pitch w:val="default"/>
  </w:font>
  <w:font w:name="OpenSymbol">
    <w:altName w:val="Arial Unicode MS"/>
    <w:charset w:val="00"/>
    <w:family w:val="roman"/>
    <w:pitch w:val="default"/>
  </w:font>
  <w:font w:name="Courier New">
    <w:charset w:val="00"/>
    <w:family w:val="modern"/>
    <w:pitch w:val="fixed"/>
  </w:font>
  <w:font w:name="Arial">
    <w:charset w:val="00"/>
    <w:family w:val="roman"/>
    <w:pitch w:val="variable"/>
  </w:font>
  <w:font w:name="Mang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erschrift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pStyle w:val="Berschrift2"/>
      <w:numFmt w:val="decimal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pStyle w:val="Berschrift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en-US" w:eastAsia="zxx" w:bidi="zxx"/>
    </w:rPr>
  </w:style>
  <w:style w:type="paragraph" w:styleId="Berschrift1">
    <w:name w:val="Heading 1"/>
    <w:basedOn w:val="Berschrift"/>
    <w:next w:val="Textkrper"/>
    <w:qFormat/>
    <w:pPr>
      <w:numPr>
        <w:ilvl w:val="0"/>
        <w:numId w:val="1"/>
      </w:numPr>
      <w:spacing w:lineRule="auto" w:line="360" w:before="340" w:after="113"/>
      <w:outlineLvl w:val="0"/>
      <w:outlineLvl w:val="0"/>
    </w:pPr>
    <w:rPr>
      <w:rFonts w:ascii="Liberation Serif" w:hAnsi="Liberation Serif" w:eastAsia="MS PMincho" w:cs="Tahoma"/>
      <w:b/>
      <w:bCs/>
      <w:sz w:val="32"/>
      <w:szCs w:val="48"/>
    </w:rPr>
  </w:style>
  <w:style w:type="paragraph" w:styleId="Berschrift2">
    <w:name w:val="Heading 2"/>
    <w:basedOn w:val="Berschrift"/>
    <w:next w:val="Textkrper"/>
    <w:qFormat/>
    <w:pPr>
      <w:numPr>
        <w:ilvl w:val="1"/>
        <w:numId w:val="1"/>
      </w:numPr>
      <w:spacing w:lineRule="auto" w:line="360" w:before="340" w:after="113"/>
      <w:outlineLvl w:val="1"/>
      <w:outlineLvl w:val="1"/>
    </w:pPr>
    <w:rPr>
      <w:rFonts w:ascii="Times New Roman" w:hAnsi="Times New Roman" w:eastAsia="MS PMincho" w:cs="Tahoma"/>
      <w:b w:val="false"/>
      <w:bCs/>
      <w:i w:val="false"/>
      <w:sz w:val="28"/>
      <w:szCs w:val="36"/>
    </w:rPr>
  </w:style>
  <w:style w:type="paragraph" w:styleId="Berschrift3">
    <w:name w:val="Heading 3"/>
    <w:basedOn w:val="Berschrift"/>
    <w:next w:val="Textkrper"/>
    <w:qFormat/>
    <w:pPr>
      <w:numPr>
        <w:ilvl w:val="2"/>
        <w:numId w:val="1"/>
      </w:numPr>
      <w:spacing w:before="140" w:after="120"/>
      <w:outlineLvl w:val="2"/>
      <w:outlineLvl w:val="2"/>
    </w:pPr>
    <w:rPr>
      <w:b/>
      <w:bCs/>
      <w:color w:val="808080"/>
      <w:sz w:val="28"/>
      <w:szCs w:val="28"/>
    </w:rPr>
  </w:style>
  <w:style w:type="paragraph" w:styleId="Berschrift4">
    <w:name w:val="Heading 4"/>
    <w:basedOn w:val="Berschrift"/>
    <w:qFormat/>
    <w:pPr/>
    <w:rPr/>
  </w:style>
  <w:style w:type="paragraph" w:styleId="Berschrift5">
    <w:name w:val="Heading 5"/>
    <w:basedOn w:val="Berschrift"/>
    <w:qFormat/>
    <w:pPr/>
    <w:rPr/>
  </w:style>
  <w:style w:type="paragraph" w:styleId="Berschrift6">
    <w:name w:val="Heading 6"/>
    <w:basedOn w:val="Berschrift"/>
    <w:qFormat/>
    <w:pPr/>
    <w:rPr/>
  </w:style>
  <w:style w:type="paragraph" w:styleId="Berschrift7">
    <w:name w:val="Heading 7"/>
    <w:basedOn w:val="Berschrift"/>
    <w:qFormat/>
    <w:pPr/>
    <w:rPr/>
  </w:style>
  <w:style w:type="paragraph" w:styleId="Berschrift8">
    <w:name w:val="Heading 8"/>
    <w:basedOn w:val="Berschrift"/>
    <w:qFormat/>
    <w:pPr/>
    <w:rPr/>
  </w:style>
  <w:style w:type="paragraph" w:styleId="Berschrift9">
    <w:name w:val="Heading 9"/>
    <w:basedOn w:val="Berschrift"/>
    <w:qFormat/>
    <w:pPr/>
    <w:rPr/>
  </w:style>
  <w:style w:type="character" w:styleId="Aufzhlungszeichen">
    <w:name w:val="Aufzählungszeichen"/>
    <w:qFormat/>
    <w:rPr>
      <w:rFonts w:ascii="OpenSymbol" w:hAnsi="OpenSymbol" w:eastAsia="OpenSymbol" w:cs="OpenSymbol"/>
    </w:rPr>
  </w:style>
  <w:style w:type="character" w:styleId="Internetlink">
    <w:name w:val="Internetlink"/>
    <w:rPr>
      <w:color w:val="0000FF"/>
      <w:u w:val="single"/>
      <w:lang w:val="zxx" w:eastAsia="zxx" w:bidi="zxx"/>
    </w:rPr>
  </w:style>
  <w:style w:type="character" w:styleId="Funotenzeichen">
    <w:name w:val="Fußnotenzeichen"/>
    <w:qFormat/>
    <w:rPr/>
  </w:style>
  <w:style w:type="character" w:styleId="Funotenanker">
    <w:name w:val="Fußnotenanker"/>
    <w:rPr>
      <w:vertAlign w:val="superscript"/>
    </w:rPr>
  </w:style>
  <w:style w:type="character" w:styleId="Rubys">
    <w:name w:val="Rubys"/>
    <w:qFormat/>
    <w:rPr>
      <w:sz w:val="12"/>
      <w:szCs w:val="12"/>
      <w:u w:val="none"/>
      <w:em w:val="none"/>
    </w:rPr>
  </w:style>
  <w:style w:type="character" w:styleId="Nummerierungszeichen">
    <w:name w:val="Nummerierungszeichen"/>
    <w:qFormat/>
    <w:rPr/>
  </w:style>
  <w:style w:type="character" w:styleId="Platzhalter">
    <w:name w:val="Platzhalter"/>
    <w:qFormat/>
    <w:rPr>
      <w:smallCaps/>
      <w:color w:val="008080"/>
      <w:u w:val="dotted"/>
    </w:rPr>
  </w:style>
  <w:style w:type="character" w:styleId="Quelltext">
    <w:name w:val="Quelltext"/>
    <w:qFormat/>
    <w:rPr>
      <w:rFonts w:ascii="Liberation Mono" w:hAnsi="Liberation Mono" w:eastAsia="MS PGothic" w:cs="Liberation Mono"/>
    </w:rPr>
  </w:style>
  <w:style w:type="character" w:styleId="Betont">
    <w:name w:val="Betont"/>
    <w:qFormat/>
    <w:rPr>
      <w:i/>
      <w:iCs/>
      <w:highlight w:val="magenta"/>
    </w:rPr>
  </w:style>
  <w:style w:type="character" w:styleId="Seitenzahl">
    <w:name w:val="Seitenzahl"/>
    <w:rPr/>
  </w:style>
  <w:style w:type="character" w:styleId="Starkbetont">
    <w:name w:val="Stark betont"/>
    <w:qFormat/>
    <w:rPr>
      <w:b/>
      <w:bCs/>
    </w:rPr>
  </w:style>
  <w:style w:type="character" w:styleId="Arabisch">
    <w:name w:val="Arabisch"/>
    <w:qFormat/>
    <w:rPr>
      <w:rFonts w:ascii="Traditional Arabic" w:hAnsi="Traditional Arabic"/>
      <w:b/>
      <w:sz w:val="28"/>
    </w:rPr>
  </w:style>
  <w:style w:type="character" w:styleId="BesuchterInternetlink">
    <w:name w:val="Besuchter Internetlink"/>
    <w:rPr>
      <w:color w:val="800000"/>
      <w:u w:val="single"/>
    </w:rPr>
  </w:style>
  <w:style w:type="character" w:styleId="BiblioTitel">
    <w:name w:val="Biblio_Titel"/>
    <w:qFormat/>
    <w:rPr>
      <w:i/>
      <w:color w:val="808000"/>
      <w:highlight w:val="magenta"/>
    </w:rPr>
  </w:style>
  <w:style w:type="character" w:styleId="BiblioReferenz">
    <w:name w:val="Biblio_Referenz"/>
    <w:qFormat/>
    <w:rPr>
      <w:smallCaps/>
      <w:color w:val="808000"/>
      <w:highlight w:val="magenta"/>
    </w:rPr>
  </w:style>
  <w:style w:type="character" w:styleId="AbbildungReferenz">
    <w:name w:val="Abbildung_Referenz"/>
    <w:qFormat/>
    <w:rPr>
      <w:color w:val="FF00FF"/>
      <w:highlight w:val="magenta"/>
    </w:rPr>
  </w:style>
  <w:style w:type="character" w:styleId="Fachbegriff">
    <w:name w:val="Fachbegriff"/>
    <w:basedOn w:val="Betont"/>
    <w:qFormat/>
    <w:rPr>
      <w:color w:val="808080"/>
      <w:highlight w:val="magenta"/>
    </w:rPr>
  </w:style>
  <w:style w:type="character" w:styleId="FlietextTitel">
    <w:name w:val="Fließtext_Titel"/>
    <w:qFormat/>
    <w:rPr>
      <w:i/>
      <w:color w:val="008080"/>
    </w:rPr>
  </w:style>
  <w:style w:type="character" w:styleId="Umschrift">
    <w:name w:val="Umschrift"/>
    <w:qFormat/>
    <w:rPr>
      <w:i/>
      <w:color w:val="800000"/>
    </w:rPr>
  </w:style>
  <w:style w:type="paragraph" w:styleId="Berschrift">
    <w:name w:val="Überschrift"/>
    <w:basedOn w:val="Normal"/>
    <w:next w:val="Textkrper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extkrper">
    <w:name w:val="Body Text"/>
    <w:basedOn w:val="Normal"/>
    <w:pPr>
      <w:widowControl/>
      <w:bidi w:val="0"/>
      <w:spacing w:lineRule="auto" w:line="312" w:before="170" w:after="170"/>
      <w:jc w:val="left"/>
    </w:pPr>
    <w:rPr/>
  </w:style>
  <w:style w:type="paragraph" w:styleId="Liste">
    <w:name w:val="List"/>
    <w:basedOn w:val="Textkrper"/>
    <w:pPr/>
    <w:rPr>
      <w:rFonts w:cs="Tahoma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Tahoma"/>
    </w:rPr>
  </w:style>
  <w:style w:type="paragraph" w:styleId="Funote">
    <w:name w:val="Footnote Text"/>
    <w:basedOn w:val="Normal"/>
    <w:pPr>
      <w:suppressLineNumbers/>
      <w:spacing w:before="0" w:after="0"/>
      <w:ind w:left="339" w:right="0" w:hanging="339"/>
    </w:pPr>
    <w:rPr>
      <w:sz w:val="20"/>
      <w:szCs w:val="20"/>
    </w:rPr>
  </w:style>
  <w:style w:type="paragraph" w:styleId="Stichwortverzeichnis1">
    <w:name w:val="Index 1"/>
    <w:basedOn w:val="Verzeichnis"/>
    <w:pPr>
      <w:spacing w:before="0" w:after="0"/>
      <w:ind w:left="0" w:right="0" w:hanging="0"/>
    </w:pPr>
    <w:rPr/>
  </w:style>
  <w:style w:type="paragraph" w:styleId="EinzugTextkrper">
    <w:name w:val="Body Text Indent"/>
    <w:basedOn w:val="Textkrper"/>
    <w:pPr>
      <w:spacing w:before="0" w:after="0"/>
      <w:ind w:left="283" w:right="0" w:hanging="0"/>
    </w:pPr>
    <w:rPr/>
  </w:style>
  <w:style w:type="paragraph" w:styleId="HngenderEinzug">
    <w:name w:val="Hängender Einzug"/>
    <w:basedOn w:val="Textkrper"/>
    <w:qFormat/>
    <w:pPr>
      <w:spacing w:before="113" w:after="113"/>
      <w:ind w:left="567" w:right="0" w:hanging="567"/>
      <w:jc w:val="left"/>
    </w:pPr>
    <w:rPr/>
  </w:style>
  <w:style w:type="paragraph" w:styleId="Titel">
    <w:name w:val="Title"/>
    <w:basedOn w:val="Berschrift"/>
    <w:next w:val="Textkrper"/>
    <w:qFormat/>
    <w:pPr>
      <w:spacing w:lineRule="auto" w:line="360" w:before="0" w:after="340"/>
      <w:jc w:val="center"/>
    </w:pPr>
    <w:rPr>
      <w:rFonts w:ascii="Liberation Serif" w:hAnsi="Liberation Serif"/>
      <w:b/>
      <w:bCs/>
      <w:sz w:val="44"/>
      <w:szCs w:val="56"/>
    </w:rPr>
  </w:style>
  <w:style w:type="paragraph" w:styleId="Untertitel">
    <w:name w:val="Subtitle"/>
    <w:basedOn w:val="Berschrift"/>
    <w:next w:val="Textkrper"/>
    <w:qFormat/>
    <w:pPr>
      <w:spacing w:lineRule="auto" w:line="360" w:before="340" w:after="567"/>
      <w:jc w:val="center"/>
    </w:pPr>
    <w:rPr>
      <w:rFonts w:ascii="Liberation Serif" w:hAnsi="Liberation Serif"/>
      <w:sz w:val="32"/>
      <w:szCs w:val="36"/>
    </w:rPr>
  </w:style>
  <w:style w:type="paragraph" w:styleId="Abbildung">
    <w:name w:val="Abbildung"/>
    <w:basedOn w:val="Beschriftung"/>
    <w:qFormat/>
    <w:pPr>
      <w:spacing w:before="113" w:after="340"/>
    </w:pPr>
    <w:rPr/>
  </w:style>
  <w:style w:type="paragraph" w:styleId="Quotations">
    <w:name w:val="Quotations"/>
    <w:basedOn w:val="Normal"/>
    <w:qFormat/>
    <w:pPr>
      <w:spacing w:before="0" w:after="283"/>
      <w:ind w:left="567" w:right="567" w:hanging="0"/>
    </w:pPr>
    <w:rPr/>
  </w:style>
  <w:style w:type="paragraph" w:styleId="ObjektmitPfeilspitze">
    <w:name w:val="Objekt mit Pfeilspitze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ObjektmitSchatten">
    <w:name w:val="Objekt mit Schatten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ObjektohneFllung">
    <w:name w:val="Objekt ohne Füllung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ObjektohneFllungundLinie">
    <w:name w:val="Objekt ohne Füllung und Linie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Malinie">
    <w:name w:val="Maßlinie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Hintergrundobjekte">
    <w:name w:val="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Hintergrund">
    <w:name w:val="Hintergrund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Notizen">
    <w:name w:val="Notizen"/>
    <w:qFormat/>
    <w:pPr>
      <w:widowControl/>
      <w:kinsoku w:val="true"/>
      <w:overflowPunct w:val="true"/>
      <w:autoSpaceDE w:val="true"/>
      <w:bidi w:val="0"/>
      <w:spacing w:before="0" w:after="0"/>
      <w:ind w:left="340" w:right="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40"/>
      <w:szCs w:val="24"/>
      <w:u w:val="none"/>
      <w:em w:val="none"/>
      <w:lang w:val="de-DE" w:eastAsia="ja-JP" w:bidi="fa-IR"/>
    </w:rPr>
  </w:style>
  <w:style w:type="paragraph" w:styleId="Gliederung1">
    <w:name w:val="Gliederung 1"/>
    <w:qFormat/>
    <w:pPr>
      <w:widowControl/>
      <w:kinsoku w:val="true"/>
      <w:overflowPunct w:val="true"/>
      <w:autoSpaceDE w:val="true"/>
      <w:bidi w:val="0"/>
      <w:spacing w:before="0" w:after="283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3"/>
      <w:szCs w:val="24"/>
      <w:u w:val="none"/>
      <w:em w:val="none"/>
      <w:lang w:val="de-DE" w:eastAsia="ja-JP" w:bidi="fa-IR"/>
    </w:rPr>
  </w:style>
  <w:style w:type="paragraph" w:styleId="Gliederung2">
    <w:name w:val="Gliederung 2"/>
    <w:basedOn w:val="Gliederung1"/>
    <w:qFormat/>
    <w:pPr>
      <w:spacing w:before="0" w:after="22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Gliederung3">
    <w:name w:val="Gliederung 3"/>
    <w:basedOn w:val="Gliederung2"/>
    <w:qFormat/>
    <w:pPr>
      <w:spacing w:before="0" w:after="17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Gliederung4">
    <w:name w:val="Gliederung 4"/>
    <w:basedOn w:val="Gliederung3"/>
    <w:qFormat/>
    <w:pPr>
      <w:spacing w:before="0" w:after="113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5">
    <w:name w:val="Gliederung 5"/>
    <w:basedOn w:val="Gliederung4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6">
    <w:name w:val="Gliederung 6"/>
    <w:basedOn w:val="Gliederung5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7">
    <w:name w:val="Gliederung 7"/>
    <w:basedOn w:val="Gliederung6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8">
    <w:name w:val="Gliederung 8"/>
    <w:basedOn w:val="Gliederung7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9">
    <w:name w:val="Gliederung 9"/>
    <w:basedOn w:val="Gliederung8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Betont1">
    <w:name w:val="Betont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i/>
      <w:color w:val="auto"/>
      <w:sz w:val="24"/>
      <w:szCs w:val="24"/>
      <w:lang w:val="de-DE" w:eastAsia="ja-JP" w:bidi="fa-IR"/>
    </w:rPr>
  </w:style>
  <w:style w:type="paragraph" w:styleId="Quelltext1">
    <w:name w:val="Quelltext"/>
    <w:qFormat/>
    <w:pPr>
      <w:widowControl/>
      <w:kinsoku w:val="true"/>
      <w:overflowPunct w:val="true"/>
      <w:autoSpaceDE w:val="true"/>
      <w:bidi w:val="0"/>
      <w:jc w:val="left"/>
    </w:pPr>
    <w:rPr>
      <w:rFonts w:ascii="Liberation Mono;Courier New" w:hAnsi="Liberation Mono;Courier New" w:eastAsia="Tahoma" w:cs="Liberation Sans"/>
      <w:color w:val="auto"/>
      <w:sz w:val="24"/>
      <w:szCs w:val="24"/>
      <w:lang w:val="de-DE" w:eastAsia="ja-JP" w:bidi="fa-IR"/>
    </w:rPr>
  </w:style>
  <w:style w:type="paragraph" w:styleId="Platzhalter1">
    <w:name w:val="Platzhalter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8080"/>
      <w:sz w:val="24"/>
      <w:szCs w:val="24"/>
      <w:u w:val="dotted"/>
      <w:lang w:val="de-DE" w:eastAsia="ja-JP" w:bidi="fa-IR"/>
    </w:rPr>
  </w:style>
  <w:style w:type="paragraph" w:styleId="Nummerierungszeichen1">
    <w:name w:val="Nummerierungszeichen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Rubys1">
    <w:name w:val="Rubys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12"/>
      <w:szCs w:val="24"/>
      <w:u w:val="none"/>
      <w:em w:val="none"/>
      <w:lang w:val="de-DE" w:eastAsia="ja-JP" w:bidi="fa-IR"/>
    </w:rPr>
  </w:style>
  <w:style w:type="paragraph" w:styleId="Funotenanker1">
    <w:name w:val="Fußnotenanker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Funotenzeichen1">
    <w:name w:val="Fußnotenzeichen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Internetlink1">
    <w:name w:val="Internetlink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80"/>
      <w:sz w:val="24"/>
      <w:szCs w:val="24"/>
      <w:u w:val="single"/>
      <w:lang w:val="de-DE" w:eastAsia="ja-JP" w:bidi="fa-IR"/>
    </w:rPr>
  </w:style>
  <w:style w:type="paragraph" w:styleId="Aufzhlungszeichen1">
    <w:name w:val="Aufzählungszeichen"/>
    <w:qFormat/>
    <w:pPr>
      <w:widowControl/>
      <w:kinsoku w:val="true"/>
      <w:overflowPunct w:val="true"/>
      <w:autoSpaceDE w:val="true"/>
      <w:bidi w:val="0"/>
      <w:jc w:val="left"/>
    </w:pPr>
    <w:rPr>
      <w:rFonts w:ascii="OpenSymbol;Arial Unicode MS" w:hAnsi="OpenSymbol;Arial Unicode MS" w:eastAsia="Tahoma" w:cs="Liberation Sans"/>
      <w:color w:val="auto"/>
      <w:sz w:val="24"/>
      <w:szCs w:val="24"/>
      <w:lang w:val="de-DE" w:eastAsia="ja-JP" w:bidi="fa-IR"/>
    </w:rPr>
  </w:style>
  <w:style w:type="paragraph" w:styleId="VorformatierterText">
    <w:name w:val="Vorformatierter Text"/>
    <w:basedOn w:val="Normal"/>
    <w:qFormat/>
    <w:pPr>
      <w:spacing w:before="0" w:after="0"/>
    </w:pPr>
    <w:rPr>
      <w:rFonts w:ascii="Courier New" w:hAnsi="Courier New" w:eastAsia="MS PGothic" w:cs="Courier New"/>
      <w:sz w:val="20"/>
      <w:szCs w:val="20"/>
    </w:rPr>
  </w:style>
  <w:style w:type="paragraph" w:styleId="ObjektohneFllungundohneLinie">
    <w:name w:val="Objekt ohne Füllung und ohne Linie"/>
    <w:basedOn w:val="Normal"/>
    <w:qFormat/>
    <w:pPr/>
    <w:rPr/>
  </w:style>
  <w:style w:type="paragraph" w:styleId="Text">
    <w:name w:val="Text"/>
    <w:basedOn w:val="Beschriftung"/>
    <w:qFormat/>
    <w:pPr/>
    <w:rPr/>
  </w:style>
  <w:style w:type="paragraph" w:styleId="EinzugersteZeile">
    <w:name w:val="Body Text First Indent"/>
    <w:basedOn w:val="Textkrper"/>
    <w:pPr>
      <w:spacing w:before="0" w:after="0"/>
      <w:ind w:left="0" w:right="0" w:firstLine="283"/>
    </w:pPr>
    <w:rPr/>
  </w:style>
  <w:style w:type="paragraph" w:styleId="ObjektmitRahmen">
    <w:name w:val="Objekt mit Rahmen"/>
    <w:qFormat/>
    <w:pPr>
      <w:widowControl w:val="false"/>
      <w:kinsoku w:val="true"/>
      <w:overflowPunct w:val="true"/>
      <w:autoSpaceDE w:val="false"/>
      <w:bidi w:val="0"/>
    </w:pPr>
    <w:rPr>
      <w:rFonts w:ascii="Times New Roman" w:hAnsi="Times New Roman" w:eastAsia="Andale Sans UI" w:cs="Tahoma"/>
      <w:color w:val="auto"/>
      <w:sz w:val="24"/>
      <w:szCs w:val="24"/>
      <w:lang w:val="de-DE" w:eastAsia="ja-JP" w:bidi="fa-IR"/>
    </w:rPr>
  </w:style>
  <w:style w:type="paragraph" w:styleId="TextkrperStichwort">
    <w:name w:val="Textkörper Stichwort"/>
    <w:basedOn w:val="Textkrper"/>
    <w:qFormat/>
    <w:pPr>
      <w:keepNext/>
      <w:pBdr/>
    </w:pPr>
    <w:rPr>
      <w:b/>
      <w:color w:val="00CC00"/>
      <w:sz w:val="18"/>
    </w:rPr>
  </w:style>
  <w:style w:type="paragraph" w:styleId="TextkrperBibliographie">
    <w:name w:val="Textkörper Bibliographie"/>
    <w:basedOn w:val="HngenderEinzug"/>
    <w:qFormat/>
    <w:pPr>
      <w:spacing w:lineRule="auto" w:line="276"/>
    </w:pPr>
    <w:rPr>
      <w:sz w:val="22"/>
    </w:rPr>
  </w:style>
  <w:style w:type="paragraph" w:styleId="TextkrperBlocksatz">
    <w:name w:val="Textkörper Blocksatz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0" w:after="0"/>
      <w:ind w:left="0" w:right="0" w:hanging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Titel1">
    <w:name w:val="Titel1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0" w:after="0"/>
      <w:ind w:left="0" w:right="0" w:hanging="0"/>
      <w:jc w:val="center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Titel2">
    <w:name w:val="Titel2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57" w:after="57"/>
      <w:ind w:left="0" w:right="113" w:hanging="0"/>
      <w:jc w:val="center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Berschrift11">
    <w:name w:val="Überschrift1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238" w:after="119"/>
      <w:ind w:left="0" w:right="0" w:hanging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Berschrift21">
    <w:name w:val="Überschrift2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238" w:after="119"/>
      <w:ind w:left="0" w:right="0" w:hanging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tLeast" w:line="200" w:before="0" w:after="0"/>
      <w:ind w:left="0" w:right="0" w:hanging="0"/>
      <w:jc w:val="left"/>
    </w:pPr>
    <w:rPr>
      <w:rFonts w:ascii="Mangal" w:hAnsi="Mangal" w:eastAsia="Tahoma" w:cs="Liberation Sans"/>
      <w:color w:val="000000"/>
      <w:sz w:val="36"/>
      <w:szCs w:val="24"/>
      <w:lang w:val="de-DE" w:eastAsia="ja-JP" w:bidi="fa-IR"/>
    </w:rPr>
  </w:style>
  <w:style w:type="paragraph" w:styleId="Gray1">
    <w:name w:val="gray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2">
    <w:name w:val="gray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3">
    <w:name w:val="gray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1">
    <w:name w:val="bw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2">
    <w:name w:val="bw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3">
    <w:name w:val="bw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1">
    <w:name w:val="blu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2">
    <w:name w:val="blu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3">
    <w:name w:val="blu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1">
    <w:name w:val="sun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2">
    <w:name w:val="sun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3">
    <w:name w:val="sun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1">
    <w:name w:val="earth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2">
    <w:name w:val="earth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3">
    <w:name w:val="earth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1">
    <w:name w:val="green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2">
    <w:name w:val="green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3">
    <w:name w:val="green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erschrift10">
    <w:name w:val="Überschrift 10"/>
    <w:basedOn w:val="Berschrift"/>
    <w:qFormat/>
    <w:pPr/>
    <w:rPr/>
  </w:style>
  <w:style w:type="numbering" w:styleId="Nummerierung1">
    <w:name w:val="Nummerierung 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4647</TotalTime>
  <Application>LibreOffice/5.2.5.1$Windows_x86 LibreOffice_project/0312e1a284a7d50ca85a365c316c7abbf20a4d22</Application>
  <Pages>3</Pages>
  <Words>272</Words>
  <Characters>2552</Characters>
  <CharactersWithSpaces>2796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de-DE</dc:language>
  <cp:lastModifiedBy>Torsten Roeder</cp:lastModifiedBy>
  <dcterms:modified xsi:type="dcterms:W3CDTF">2017-03-06T20:51:51Z</dcterms:modified>
  <cp:revision>397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